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9CC2E5"/>
        <w:spacing w:lineRule="auto" w:line="276" w:before="120" w:after="120"/>
        <w:ind w:firstLine="709"/>
        <w:jc w:val="center"/>
        <w:rPr>
          <w:rFonts w:ascii="Times New Roman" w:hAnsi="Times New Roman" w:eastAsia="Calibri" w:cs="Times New Roman"/>
          <w:b/>
          <w:smallCaps/>
          <w:sz w:val="40"/>
          <w:szCs w:val="20"/>
          <w:lang w:val="en-US"/>
        </w:rPr>
      </w:pPr>
      <w:r>
        <w:rPr>
          <w:rFonts w:eastAsia="Calibri" w:cs="Times New Roman" w:ascii="Times New Roman" w:hAnsi="Times New Roman"/>
          <w:b/>
          <w:smallCaps/>
          <w:sz w:val="40"/>
          <w:szCs w:val="20"/>
          <w:lang w:val="en-US"/>
        </w:rPr>
        <w:t>PRIVACY NOTICE</w:t>
      </w:r>
    </w:p>
    <w:p>
      <w:pPr>
        <w:pStyle w:val="Normal"/>
        <w:spacing w:lineRule="auto" w:line="276" w:before="120" w:after="120"/>
        <w:ind w:firstLine="709"/>
        <w:jc w:val="center"/>
        <w:rPr>
          <w:rFonts w:ascii="Times New Roman" w:hAnsi="Times New Roman" w:eastAsia="Calibri" w:cs="Times New Roman"/>
          <w:b/>
          <w:smallCaps/>
          <w:sz w:val="28"/>
          <w:szCs w:val="20"/>
          <w:lang w:val="en-US"/>
        </w:rPr>
      </w:pPr>
      <w:r>
        <w:rPr>
          <w:rFonts w:eastAsia="Calibri" w:cs="Times New Roman" w:ascii="Times New Roman" w:hAnsi="Times New Roman"/>
          <w:b/>
          <w:smallCaps/>
          <w:sz w:val="28"/>
          <w:szCs w:val="20"/>
          <w:lang w:val="en-US"/>
        </w:rPr>
        <w:t>REGARDING THE DATA PROCESSING RELATED TO THE PARTICIPATION OF THE UNIVERSITY OF PÉCS DOCTORAL STUDENT UNION IN THE INTERDISCIPLINARY DOCTORAL CONFERENCE</w:t>
      </w:r>
    </w:p>
    <w:p>
      <w:pPr>
        <w:pStyle w:val="Normal"/>
        <w:spacing w:lineRule="auto" w:line="276" w:before="120" w:after="120"/>
        <w:ind w:firstLine="709"/>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University of Pécs (hereinafter: the University) places great emphasis on ensuring that, during its data processing activities, it acts in compliance with the protection of natural persons with regard to the processing of personal data and the free movement of such data, as well as Regulation (EU) 2016/679 of the European Parliament and of the Council (hereinafter: the General Data Protection Regulation), which repeals Directive 95/46/EC; Act CXII of 2011 on the Right of Informational Self-Determination and Freedom of Information (hereinafter: the Information Act); other applicable legislation; and the data protection practices developed by the National Authority for Data Protection and Freedom of Information (hereinafter: NAIH).</w:t>
      </w:r>
    </w:p>
    <w:p>
      <w:pPr>
        <w:pStyle w:val="Normal"/>
        <w:spacing w:lineRule="auto" w:line="276" w:before="120" w:after="120"/>
        <w:ind w:firstLine="709"/>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purpose of this notice is to provide information regarding the data protection and data processing principles related to the personal data of the registrants (hereinafter: Participant(s)) of the Interdisciplinary Doctoral Conference (hereinafter: the Conference), organized by the Doctoral Student Union of the University of Pécs (hereinafter: PTE DOK or DOK), in connection with participation in the Conference.</w:t>
      </w:r>
    </w:p>
    <w:p>
      <w:pPr>
        <w:pStyle w:val="Normal"/>
        <w:numPr>
          <w:ilvl w:val="0"/>
          <w:numId w:val="1"/>
        </w:numPr>
        <w:shd w:val="clear" w:color="auto" w:fill="BDD6EE"/>
        <w:spacing w:lineRule="auto" w:line="276" w:before="120" w:after="120"/>
        <w:ind w:hanging="426" w:start="426"/>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NAME OF THE DATA CONTROLLER</w:t>
      </w:r>
    </w:p>
    <w:p>
      <w:pPr>
        <w:pStyle w:val="Normal"/>
        <w:spacing w:lineRule="auto" w:line="276" w:before="120" w:after="240"/>
        <w:ind w:firstLine="709"/>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Name: University of Pécs</w:t>
        <w:br/>
        <w:t>Registered office and mailing address: 7622 Pécs, Vasvári Pál u. 4.</w:t>
        <w:br/>
        <w:t>Representatives: Dr. Attila Miseta, Rector, and István Decsi, Chancellor</w:t>
      </w:r>
    </w:p>
    <w:p>
      <w:pPr>
        <w:pStyle w:val="Normal"/>
        <w:spacing w:lineRule="auto" w:line="276" w:before="120" w:after="240"/>
        <w:ind w:firstLine="709"/>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br/>
        <w:t>Organizational unit responsible for data processing: Doctoral Student Union (DOK)</w:t>
        <w:br/>
        <w:t>Representative: Dr. Mátyás Kiss, President</w:t>
        <w:br/>
        <w:t>Contact person: Adrienn Glázer-Kniesz</w:t>
        <w:br/>
        <w:t>Phone number: +36 30/4105367</w:t>
        <w:br/>
        <w:t xml:space="preserve">E-mail address: </w:t>
      </w:r>
      <w:hyperlink r:id="rId2">
        <w:r>
          <w:rPr>
            <w:rStyle w:val="ListLabel55"/>
            <w:rFonts w:eastAsia="Calibri" w:cs="Times New Roman" w:ascii="Times New Roman" w:hAnsi="Times New Roman"/>
            <w:color w:val="0563C1"/>
            <w:szCs w:val="20"/>
            <w:u w:val="single"/>
            <w:lang w:val="en-US"/>
          </w:rPr>
          <w:t>info.idk@pte.hu</w:t>
        </w:r>
      </w:hyperlink>
    </w:p>
    <w:p>
      <w:pPr>
        <w:pStyle w:val="Normal"/>
        <w:spacing w:lineRule="auto" w:line="276" w:before="120" w:after="240"/>
        <w:ind w:firstLine="709"/>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br/>
        <w:t>Data Protection Officer: Dr. Roland Bernát</w:t>
        <w:br/>
        <w:t>Contact: adatvedelem@pte.hu, +36 30/0746637</w:t>
      </w:r>
    </w:p>
    <w:p>
      <w:pPr>
        <w:pStyle w:val="Normal"/>
        <w:numPr>
          <w:ilvl w:val="0"/>
          <w:numId w:val="1"/>
        </w:numPr>
        <w:shd w:val="clear" w:color="auto" w:fill="BDD6EE"/>
        <w:spacing w:lineRule="auto" w:line="276" w:before="120" w:after="120"/>
        <w:ind w:hanging="437" w:start="426"/>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CATEGORIES OF PERSONAL DATA PROCESSED AND THEIR SOURCE</w:t>
      </w:r>
    </w:p>
    <w:p>
      <w:pPr>
        <w:pStyle w:val="Normal"/>
        <w:spacing w:lineRule="auto" w:line="240" w:before="0" w:after="120"/>
        <w:jc w:val="both"/>
        <w:rPr>
          <w:rFonts w:ascii="Times New Roman" w:hAnsi="Times New Roman" w:eastAsia="Times New Roman" w:cs="Times New Roman"/>
          <w:kern w:val="0"/>
          <w:lang w:val="en-GB" w:eastAsia="hu-HU"/>
          <w14:ligatures w14:val="none"/>
        </w:rPr>
      </w:pPr>
      <w:r>
        <w:rPr>
          <w:rFonts w:eastAsia="Times New Roman" w:cs="Times New Roman" w:ascii="Times New Roman" w:hAnsi="Times New Roman"/>
          <w:kern w:val="0"/>
          <w:lang w:val="en-GB" w:eastAsia="hu-HU"/>
          <w14:ligatures w14:val="none"/>
        </w:rPr>
        <w:t>The scope of the processed data includes all information provided to the DOK by the participants of the Conference during registration, as well as any data submitted by the Participant to the organizers until the conclusion of the Conference.</w:t>
      </w:r>
    </w:p>
    <w:p>
      <w:pPr>
        <w:pStyle w:val="Normal"/>
        <w:spacing w:lineRule="auto" w:line="240" w:before="0" w:after="120"/>
        <w:jc w:val="both"/>
        <w:rPr>
          <w:rFonts w:ascii="Times New Roman" w:hAnsi="Times New Roman" w:eastAsia="Times New Roman" w:cs="Times New Roman"/>
          <w:kern w:val="0"/>
          <w:lang w:val="en-GB" w:eastAsia="hu-HU"/>
          <w14:ligatures w14:val="none"/>
        </w:rPr>
      </w:pPr>
      <w:r>
        <w:rPr>
          <w:rFonts w:eastAsia="Times New Roman" w:cs="Times New Roman" w:ascii="Times New Roman" w:hAnsi="Times New Roman"/>
          <w:kern w:val="0"/>
          <w:lang w:val="en-GB" w:eastAsia="hu-HU"/>
          <w14:ligatures w14:val="none"/>
        </w:rPr>
        <w:t>The source of the data is the information you provide to the University at the time of registration.</w:t>
      </w:r>
    </w:p>
    <w:p>
      <w:pPr>
        <w:pStyle w:val="Normal"/>
        <w:spacing w:lineRule="auto" w:line="240" w:before="0" w:after="120"/>
        <w:jc w:val="both"/>
        <w:rPr>
          <w:rFonts w:ascii="Times New Roman" w:hAnsi="Times New Roman" w:eastAsia="Times New Roman" w:cs="Times New Roman"/>
          <w:kern w:val="0"/>
          <w:lang w:val="en-GB" w:eastAsia="hu-HU"/>
          <w14:ligatures w14:val="none"/>
        </w:rPr>
      </w:pPr>
      <w:r>
        <w:rPr>
          <w:rFonts w:eastAsia="Times New Roman" w:cs="Times New Roman" w:ascii="Times New Roman" w:hAnsi="Times New Roman"/>
          <w:kern w:val="0"/>
          <w:lang w:val="en-GB" w:eastAsia="hu-HU"/>
          <w14:ligatures w14:val="none"/>
        </w:rPr>
        <w:t>If any modifications or changes occur in the personal data processed during the data processing period, please notify the contact person specified in Section 1 without delay.</w:t>
      </w:r>
    </w:p>
    <w:p>
      <w:pPr>
        <w:pStyle w:val="Normal"/>
        <w:numPr>
          <w:ilvl w:val="0"/>
          <w:numId w:val="1"/>
        </w:numPr>
        <w:shd w:val="clear" w:color="auto" w:fill="BDD6EE"/>
        <w:spacing w:lineRule="auto" w:line="276" w:before="120" w:after="120"/>
        <w:ind w:hanging="426" w:start="426"/>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PURPOSE AND LEGAL BASIS OF DATA PROCESSING</w:t>
      </w:r>
    </w:p>
    <w:p>
      <w:pPr>
        <w:pStyle w:val="Normal"/>
        <w:numPr>
          <w:ilvl w:val="1"/>
          <w:numId w:val="1"/>
        </w:numPr>
        <w:spacing w:lineRule="auto" w:line="276" w:before="120" w:after="120"/>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University, in order to ensure the proper operation of the institution [pursuant to Section 18 (1) a) of the National Higher Education Act (Nftv.) as the performance of its public duty, under Article 6 (1) e) of the General Data Protection Regulation], processes the following personal data of the Participant for the purpose of organizing the Conference (identification, ensuring participation, maintaining communication): the Participant’s name, e-mail address, phone number, the institution where their research is conducted, the names and institutions of any co-authors, the type of presentation, the scientific field, the title and content of the abstract to be submitted, as well as the data required for the payment of the registration fee.</w:t>
      </w:r>
    </w:p>
    <w:p>
      <w:pPr>
        <w:pStyle w:val="Normal"/>
        <w:numPr>
          <w:ilvl w:val="1"/>
          <w:numId w:val="1"/>
        </w:numPr>
        <w:spacing w:lineRule="auto" w:line="276" w:before="120" w:after="120"/>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University, in order to ensure the proper operation of the institution [pursuant to Section 18 (1) a) of the National Higher Education Act (Nftv.) as the performance of its public duty, under Article 6 (1) e) and Article 9 (2) a) of the General Data Protection Regulation], processes data concerning your dietary preferences, as well as any special dietary requirements or food intolerances, for the purpose of organizing meals at the event and providing special meals if requested.</w:t>
      </w:r>
    </w:p>
    <w:p>
      <w:pPr>
        <w:pStyle w:val="Normal"/>
        <w:numPr>
          <w:ilvl w:val="1"/>
          <w:numId w:val="1"/>
        </w:numPr>
        <w:spacing w:lineRule="auto" w:line="276" w:before="120" w:after="120"/>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For the proper operation of the institution [Section 18 (1) a) of the National Higher Education Act (Nftv.)], in the performance of its public duty (pursuant to Article 6 (1) e) of the General Data Protection Regulation), the University processes the following data provided by the Participant for the purpose of issuing and retaining an invoice, upon the Participant’s request: the registered name of the buyer (hereinafter: Buyer), the postal code of the Buyer’s registered office, the city of the Buyer’s registered office, the street name of the Buyer’s registered office, and the house number of the Buyer’s registered office. This processing serves the fulfillment of the University’s public duties and compliance with Act CXXVII of 2007 on Value Added Tax and Act C of 2000 on Accounting.</w:t>
      </w:r>
    </w:p>
    <w:p>
      <w:pPr>
        <w:pStyle w:val="Normal"/>
        <w:numPr>
          <w:ilvl w:val="0"/>
          <w:numId w:val="1"/>
        </w:numPr>
        <w:shd w:val="clear" w:color="auto" w:fill="BDD6EE"/>
        <w:spacing w:lineRule="auto" w:line="276" w:before="120" w:after="120"/>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DURATION OF DATA PROCESSING</w:t>
      </w:r>
    </w:p>
    <w:p>
      <w:pPr>
        <w:pStyle w:val="Normal"/>
        <w:spacing w:lineRule="auto" w:line="360"/>
        <w:ind w:firstLine="709"/>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duration of data processing for Sections 3.1 and 3.2 lasts until the data is deleted by the data controller, which occurs no later than 3 months after the conclusion of the Conference.</w:t>
      </w:r>
    </w:p>
    <w:p>
      <w:pPr>
        <w:pStyle w:val="Normal"/>
        <w:spacing w:lineRule="auto" w:line="360"/>
        <w:ind w:firstLine="709"/>
        <w:jc w:val="both"/>
        <w:rPr>
          <w:rFonts w:ascii="Times New Roman" w:hAnsi="Times New Roman" w:eastAsia="Calibri" w:cs="Times New Roman"/>
          <w:szCs w:val="20"/>
          <w:lang w:val="en-US"/>
        </w:rPr>
      </w:pPr>
      <w:r>
        <w:rPr>
          <w:rFonts w:eastAsia="Calibri" w:cs="Times New Roman" w:ascii="Times New Roman" w:hAnsi="Times New Roman"/>
          <w:szCs w:val="20"/>
          <w:lang w:val="en-US"/>
        </w:rPr>
        <w:t xml:space="preserve">For Section 3.3, the duration of data processing for invoice retention is 8 years, in accordance with Section 169 (2) of Act C of 2000 on Accounting.tart. </w:t>
      </w:r>
    </w:p>
    <w:p>
      <w:pPr>
        <w:pStyle w:val="Normal"/>
        <w:numPr>
          <w:ilvl w:val="0"/>
          <w:numId w:val="1"/>
        </w:numPr>
        <w:shd w:val="clear" w:color="auto" w:fill="BDD6EE"/>
        <w:spacing w:lineRule="auto" w:line="276" w:before="120" w:after="120"/>
        <w:ind w:hanging="426" w:start="426"/>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CATEGORIES OF PERSONS WITH ACCESS TO THE DATA, DATA PROCESSING, AND DATA TRANSFER</w:t>
      </w:r>
    </w:p>
    <w:p>
      <w:pPr>
        <w:pStyle w:val="Normal"/>
        <w:spacing w:lineRule="auto" w:line="276" w:before="120" w:after="120"/>
        <w:ind w:firstLine="709"/>
        <w:jc w:val="both"/>
        <w:rPr>
          <w:rFonts w:ascii="Times New Roman" w:hAnsi="Times New Roman" w:eastAsia="Times New Roman" w:cs="Times New Roman"/>
          <w:szCs w:val="20"/>
          <w:lang w:val="en-US" w:eastAsia="zh-CN"/>
        </w:rPr>
      </w:pPr>
      <w:bookmarkStart w:id="0" w:name="_Hlk43380118"/>
      <w:r>
        <w:rPr>
          <w:rFonts w:eastAsia="Times New Roman" w:cs="Times New Roman" w:ascii="Times New Roman" w:hAnsi="Times New Roman"/>
          <w:szCs w:val="20"/>
          <w:lang w:val="en-US" w:eastAsia="zh-CN"/>
        </w:rPr>
        <w:t>Only the employees of the University’s organizational units who require the data to perform their duties may access the data. These employees are bound by a confidentiality obligation regarding any personal data they access.</w:t>
      </w:r>
    </w:p>
    <w:p>
      <w:pPr>
        <w:pStyle w:val="Normal"/>
        <w:spacing w:lineRule="auto" w:line="276" w:before="120" w:after="120"/>
        <w:ind w:firstLine="709"/>
        <w:jc w:val="both"/>
        <w:rPr>
          <w:rFonts w:ascii="Times New Roman" w:hAnsi="Times New Roman" w:eastAsia="Times New Roman" w:cs="Times New Roman"/>
          <w:szCs w:val="20"/>
          <w:lang w:val="en-US" w:eastAsia="zh-CN"/>
        </w:rPr>
      </w:pPr>
      <w:r>
        <w:rPr>
          <w:rFonts w:eastAsia="Times New Roman" w:cs="Times New Roman" w:ascii="Times New Roman" w:hAnsi="Times New Roman"/>
          <w:szCs w:val="20"/>
          <w:lang w:val="en-US" w:eastAsia="zh-CN"/>
        </w:rPr>
        <w:t>For the purpose of registration, the University uses the Microsoft Forms application, operated by Microsoft as a data processor.</w:t>
      </w:r>
    </w:p>
    <w:p>
      <w:pPr>
        <w:pStyle w:val="Normal"/>
        <w:spacing w:lineRule="auto" w:line="276" w:before="120" w:after="120"/>
        <w:ind w:firstLine="709" w:start="851"/>
        <w:jc w:val="both"/>
        <w:rPr>
          <w:rFonts w:ascii="Times New Roman" w:hAnsi="Times New Roman" w:eastAsia="Times New Roman" w:cs="Times New Roman"/>
          <w:szCs w:val="20"/>
          <w:lang w:val="en-US" w:eastAsia="zh-CN"/>
        </w:rPr>
      </w:pPr>
      <w:r>
        <w:rPr>
          <w:rFonts w:eastAsia="Times New Roman" w:cs="Times New Roman" w:ascii="Times New Roman" w:hAnsi="Times New Roman"/>
          <w:b/>
          <w:bCs/>
          <w:szCs w:val="20"/>
          <w:lang w:val="en-US" w:eastAsia="zh-CN"/>
        </w:rPr>
        <w:t>Data Processor:</w:t>
      </w:r>
      <w:r>
        <w:rPr>
          <w:rFonts w:eastAsia="Times New Roman" w:cs="Times New Roman" w:ascii="Times New Roman" w:hAnsi="Times New Roman"/>
          <w:szCs w:val="20"/>
          <w:lang w:val="en-US" w:eastAsia="zh-CN"/>
        </w:rPr>
        <w:t xml:space="preserve"> Microsoft Ireland Operations Limited</w:t>
        <w:br/>
      </w:r>
      <w:r>
        <w:rPr>
          <w:rFonts w:eastAsia="Times New Roman" w:cs="Times New Roman" w:ascii="Times New Roman" w:hAnsi="Times New Roman"/>
          <w:b/>
          <w:bCs/>
          <w:szCs w:val="20"/>
          <w:lang w:val="en-US" w:eastAsia="zh-CN"/>
        </w:rPr>
        <w:t>Registered office:</w:t>
      </w:r>
      <w:r>
        <w:rPr>
          <w:rFonts w:eastAsia="Times New Roman" w:cs="Times New Roman" w:ascii="Times New Roman" w:hAnsi="Times New Roman"/>
          <w:szCs w:val="20"/>
          <w:lang w:val="en-US" w:eastAsia="zh-CN"/>
        </w:rPr>
        <w:t xml:space="preserve"> One Microsoft Place, South County Business Park, Leopardstown, Dublin 18, Ireland</w:t>
        <w:br/>
      </w:r>
      <w:r>
        <w:rPr>
          <w:rFonts w:eastAsia="Times New Roman" w:cs="Times New Roman" w:ascii="Times New Roman" w:hAnsi="Times New Roman"/>
          <w:b/>
          <w:bCs/>
          <w:szCs w:val="20"/>
          <w:lang w:val="en-US" w:eastAsia="zh-CN"/>
        </w:rPr>
        <w:t>Registered address:</w:t>
      </w:r>
      <w:r>
        <w:rPr>
          <w:rFonts w:eastAsia="Times New Roman" w:cs="Times New Roman" w:ascii="Times New Roman" w:hAnsi="Times New Roman"/>
          <w:szCs w:val="20"/>
          <w:lang w:val="en-US" w:eastAsia="zh-CN"/>
        </w:rPr>
        <w:t xml:space="preserve"> 70 Sir John Rogerson’s Quay, Dublin 2, Ireland</w:t>
        <w:br/>
      </w:r>
      <w:r>
        <w:rPr>
          <w:rFonts w:eastAsia="Times New Roman" w:cs="Times New Roman" w:ascii="Times New Roman" w:hAnsi="Times New Roman"/>
          <w:b/>
          <w:bCs/>
          <w:szCs w:val="20"/>
          <w:lang w:val="en-US" w:eastAsia="zh-CN"/>
        </w:rPr>
        <w:t>Company registration number:</w:t>
      </w:r>
      <w:r>
        <w:rPr>
          <w:rFonts w:eastAsia="Times New Roman" w:cs="Times New Roman" w:ascii="Times New Roman" w:hAnsi="Times New Roman"/>
          <w:szCs w:val="20"/>
          <w:lang w:val="en-US" w:eastAsia="zh-CN"/>
        </w:rPr>
        <w:t xml:space="preserve"> 256796</w:t>
        <w:br/>
      </w:r>
      <w:r>
        <w:rPr>
          <w:rFonts w:eastAsia="Times New Roman" w:cs="Times New Roman" w:ascii="Times New Roman" w:hAnsi="Times New Roman"/>
          <w:b/>
          <w:bCs/>
          <w:szCs w:val="20"/>
          <w:lang w:val="en-US" w:eastAsia="zh-CN"/>
        </w:rPr>
        <w:t>EU VAT number:</w:t>
      </w:r>
      <w:r>
        <w:rPr>
          <w:rFonts w:eastAsia="Times New Roman" w:cs="Times New Roman" w:ascii="Times New Roman" w:hAnsi="Times New Roman"/>
          <w:szCs w:val="20"/>
          <w:lang w:val="en-US" w:eastAsia="zh-CN"/>
        </w:rPr>
        <w:t xml:space="preserve"> IE 8256796 U</w:t>
        <w:br/>
      </w:r>
      <w:r>
        <w:rPr>
          <w:rFonts w:eastAsia="Times New Roman" w:cs="Times New Roman" w:ascii="Times New Roman" w:hAnsi="Times New Roman"/>
          <w:b/>
          <w:bCs/>
          <w:szCs w:val="20"/>
          <w:lang w:val="en-US" w:eastAsia="zh-CN"/>
        </w:rPr>
        <w:t>Website, Privacy Policy, and Service Agreement:</w:t>
      </w:r>
    </w:p>
    <w:p>
      <w:pPr>
        <w:pStyle w:val="Normal"/>
        <w:numPr>
          <w:ilvl w:val="0"/>
          <w:numId w:val="2"/>
        </w:numPr>
        <w:spacing w:lineRule="auto" w:line="276" w:before="120" w:after="120"/>
        <w:ind w:hanging="360" w:start="1418"/>
        <w:jc w:val="both"/>
        <w:rPr>
          <w:rFonts w:ascii="Times New Roman" w:hAnsi="Times New Roman" w:eastAsia="Times New Roman" w:cs="Times New Roman"/>
          <w:szCs w:val="20"/>
          <w:lang w:val="en-US" w:eastAsia="zh-CN"/>
        </w:rPr>
      </w:pPr>
      <w:hyperlink r:id="rId3" w:tgtFrame="_new">
        <w:r>
          <w:rPr>
            <w:rStyle w:val="ListLabel56"/>
            <w:rFonts w:eastAsia="Times New Roman" w:cs="Times New Roman" w:ascii="Times New Roman" w:hAnsi="Times New Roman"/>
            <w:color w:val="0563C1"/>
            <w:szCs w:val="20"/>
            <w:u w:val="single"/>
            <w:lang w:val="en-US" w:eastAsia="zh-CN"/>
          </w:rPr>
          <w:t>https://privacy.microsoft.com/hu-hu/privacystatement</w:t>
        </w:r>
      </w:hyperlink>
    </w:p>
    <w:p>
      <w:pPr>
        <w:pStyle w:val="Normal"/>
        <w:numPr>
          <w:ilvl w:val="0"/>
          <w:numId w:val="2"/>
        </w:numPr>
        <w:spacing w:lineRule="auto" w:line="276" w:before="120" w:after="120"/>
        <w:ind w:hanging="360" w:start="1418"/>
        <w:jc w:val="both"/>
        <w:rPr>
          <w:rFonts w:ascii="Times New Roman" w:hAnsi="Times New Roman" w:eastAsia="Times New Roman" w:cs="Times New Roman"/>
          <w:szCs w:val="20"/>
          <w:lang w:val="en-US" w:eastAsia="zh-CN"/>
        </w:rPr>
      </w:pPr>
      <w:hyperlink r:id="rId4" w:tgtFrame="_new">
        <w:r>
          <w:rPr>
            <w:rStyle w:val="ListLabel56"/>
            <w:rFonts w:eastAsia="Times New Roman" w:cs="Times New Roman" w:ascii="Times New Roman" w:hAnsi="Times New Roman"/>
            <w:color w:val="0563C1"/>
            <w:szCs w:val="20"/>
            <w:u w:val="single"/>
            <w:lang w:val="en-US" w:eastAsia="zh-CN"/>
          </w:rPr>
          <w:t>https://www.microsoft.com/hu-hu/servicesagreement</w:t>
        </w:r>
      </w:hyperlink>
    </w:p>
    <w:p>
      <w:pPr>
        <w:pStyle w:val="Normal"/>
        <w:spacing w:lineRule="auto" w:line="276" w:before="120" w:after="120"/>
        <w:ind w:firstLine="709"/>
        <w:jc w:val="both"/>
        <w:rPr>
          <w:rFonts w:ascii="Times New Roman" w:hAnsi="Times New Roman" w:eastAsia="Times New Roman" w:cs="Times New Roman"/>
          <w:szCs w:val="20"/>
          <w:lang w:val="en-US" w:eastAsia="zh-CN"/>
        </w:rPr>
      </w:pPr>
      <w:bookmarkStart w:id="1" w:name="_Hlk43380118"/>
      <w:r>
        <w:rPr>
          <w:rFonts w:eastAsia="Times New Roman" w:cs="Times New Roman" w:ascii="Times New Roman" w:hAnsi="Times New Roman"/>
          <w:szCs w:val="20"/>
          <w:lang w:val="en-US" w:eastAsia="zh-CN"/>
        </w:rPr>
        <w:t>The University does not transfer or disclose personal data to any other recipients.</w:t>
      </w:r>
      <w:bookmarkEnd w:id="1"/>
    </w:p>
    <w:p>
      <w:pPr>
        <w:pStyle w:val="Normal"/>
        <w:numPr>
          <w:ilvl w:val="0"/>
          <w:numId w:val="1"/>
        </w:numPr>
        <w:shd w:val="clear" w:color="auto" w:fill="BDD6EE"/>
        <w:spacing w:lineRule="auto" w:line="276" w:before="120" w:after="120"/>
        <w:ind w:hanging="426" w:start="426"/>
        <w:contextualSpacing/>
        <w:jc w:val="both"/>
        <w:rPr>
          <w:rFonts w:ascii="Times New Roman" w:hAnsi="Times New Roman" w:eastAsia="Calibri" w:cs="Times New Roman"/>
          <w:b/>
          <w:smallCaps/>
          <w:lang w:val="en-US"/>
        </w:rPr>
      </w:pPr>
      <w:r>
        <w:rPr>
          <w:rFonts w:eastAsia="Times New Roman" w:cs="Times New Roman" w:ascii="Times New Roman" w:hAnsi="Times New Roman"/>
          <w:b/>
          <w:smallCaps/>
          <w:lang w:val="en-US" w:eastAsia="zh-CN"/>
        </w:rPr>
        <w:t>DATA SECURITY</w:t>
      </w:r>
    </w:p>
    <w:p>
      <w:pPr>
        <w:pStyle w:val="Normal"/>
        <w:spacing w:lineRule="auto" w:line="240" w:before="0" w:after="0"/>
        <w:jc w:val="both"/>
        <w:rPr>
          <w:rFonts w:ascii="Times New Roman" w:hAnsi="Times New Roman" w:eastAsia="Times New Roman" w:cs="Times New Roman"/>
          <w:kern w:val="0"/>
          <w:lang w:val="en-GB" w:eastAsia="hu-HU"/>
          <w14:ligatures w14:val="none"/>
        </w:rPr>
      </w:pPr>
      <w:r>
        <w:rPr>
          <w:rFonts w:eastAsia="Times New Roman" w:cs="Times New Roman" w:ascii="Times New Roman" w:hAnsi="Times New Roman"/>
          <w:kern w:val="0"/>
          <w:lang w:val="en-GB" w:eastAsia="hu-HU"/>
          <w14:ligatures w14:val="none"/>
        </w:rPr>
        <w:t>The University ensures the appropriate security of the data subject’s personal data by implementing suitable technical and organizational measures, including protection against unauthorized or unlawful processing, as well as accidental loss, destruction, or damage.</w:t>
      </w:r>
    </w:p>
    <w:p>
      <w:pPr>
        <w:pStyle w:val="Normal"/>
        <w:spacing w:lineRule="auto" w:line="240" w:beforeAutospacing="1" w:afterAutospacing="1"/>
        <w:jc w:val="both"/>
        <w:rPr>
          <w:rFonts w:ascii="Times New Roman" w:hAnsi="Times New Roman" w:eastAsia="Times New Roman" w:cs="Times New Roman"/>
          <w:kern w:val="0"/>
          <w:lang w:val="en-GB" w:eastAsia="hu-HU"/>
          <w14:ligatures w14:val="none"/>
        </w:rPr>
      </w:pPr>
      <w:r>
        <w:rPr>
          <w:rFonts w:eastAsia="Times New Roman" w:cs="Times New Roman" w:ascii="Times New Roman" w:hAnsi="Times New Roman"/>
          <w:kern w:val="0"/>
          <w:lang w:val="en-GB" w:eastAsia="hu-HU"/>
          <w14:ligatures w14:val="none"/>
        </w:rPr>
        <w:t>Further information on the data security measures applied at the University can be found in Sections 20–22 of the University of Pécs’ Data Protection Policy and in its Information Security Policy.</w:t>
      </w:r>
    </w:p>
    <w:p>
      <w:pPr>
        <w:pStyle w:val="Normal"/>
        <w:numPr>
          <w:ilvl w:val="0"/>
          <w:numId w:val="1"/>
        </w:numPr>
        <w:shd w:val="clear" w:color="auto" w:fill="BDD6EE"/>
        <w:spacing w:lineRule="auto" w:line="276" w:before="120" w:after="120"/>
        <w:ind w:hanging="425" w:start="425"/>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Az</w:t>
      </w:r>
      <w:r>
        <w:rPr>
          <w:rFonts w:eastAsia="Calibri" w:cs="Times New Roman" w:ascii="Times New Roman" w:hAnsi="Times New Roman"/>
          <w:lang w:val="en-US" w:eastAsia="hu-HU"/>
        </w:rPr>
        <w:t xml:space="preserve"> </w:t>
      </w:r>
      <w:r>
        <w:rPr>
          <w:rFonts w:eastAsia="Calibri" w:cs="Times New Roman" w:ascii="Times New Roman" w:hAnsi="Times New Roman"/>
          <w:b/>
          <w:smallCaps/>
          <w:lang w:val="en-US"/>
        </w:rPr>
        <w:t>RIGHTS OF DATA SUBJECTS AND THEIR EXERCISE</w:t>
      </w:r>
    </w:p>
    <w:p>
      <w:pPr>
        <w:pStyle w:val="Normal"/>
        <w:numPr>
          <w:ilvl w:val="1"/>
          <w:numId w:val="1"/>
        </w:numPr>
        <w:spacing w:lineRule="auto" w:line="276" w:before="120" w:after="120"/>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 xml:space="preserve"> </w:t>
      </w:r>
      <w:r>
        <w:rPr>
          <w:rFonts w:eastAsia="Calibri" w:cs="Times New Roman" w:ascii="Times New Roman" w:hAnsi="Times New Roman"/>
          <w:szCs w:val="20"/>
          <w:lang w:val="en-US"/>
        </w:rPr>
        <w:t>The data subject has the right to access the information specified in Article 15 of the General Data Protection Regulation (right of access) regarding the processing of their personal data. This includes, in particular, the right to be informed by the University about:</w:t>
      </w:r>
    </w:p>
    <w:p>
      <w:pPr>
        <w:pStyle w:val="Normal"/>
        <w:numPr>
          <w:ilvl w:val="0"/>
          <w:numId w:val="3"/>
        </w:numPr>
        <w:spacing w:lineRule="auto" w:line="276" w:before="120" w:after="120"/>
        <w:ind w:hanging="360" w:start="1418"/>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which personal data of the data subject are being processed,</w:t>
      </w:r>
    </w:p>
    <w:p>
      <w:pPr>
        <w:pStyle w:val="Normal"/>
        <w:numPr>
          <w:ilvl w:val="0"/>
          <w:numId w:val="3"/>
        </w:numPr>
        <w:spacing w:lineRule="auto" w:line="276" w:before="120" w:after="120"/>
        <w:ind w:hanging="360" w:start="1418"/>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for what purpose and on what legal basis the data are processed,</w:t>
      </w:r>
    </w:p>
    <w:p>
      <w:pPr>
        <w:pStyle w:val="Normal"/>
        <w:numPr>
          <w:ilvl w:val="0"/>
          <w:numId w:val="3"/>
        </w:numPr>
        <w:spacing w:lineRule="auto" w:line="276" w:before="120" w:after="120"/>
        <w:ind w:hanging="360" w:start="1418"/>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from what source the data were collected,</w:t>
      </w:r>
    </w:p>
    <w:p>
      <w:pPr>
        <w:pStyle w:val="Normal"/>
        <w:numPr>
          <w:ilvl w:val="0"/>
          <w:numId w:val="3"/>
        </w:numPr>
        <w:spacing w:lineRule="auto" w:line="276" w:before="120" w:after="120"/>
        <w:ind w:hanging="360" w:start="1418"/>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planned duration of storage or the criteria used to determine that duration,</w:t>
      </w:r>
    </w:p>
    <w:p>
      <w:pPr>
        <w:pStyle w:val="Normal"/>
        <w:numPr>
          <w:ilvl w:val="0"/>
          <w:numId w:val="3"/>
        </w:numPr>
        <w:spacing w:lineRule="auto" w:line="276" w:before="120" w:after="120"/>
        <w:ind w:hanging="360" w:start="1418"/>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to whom, when, and which of the data subject’s personal data the University has granted access or to whom the data have been transferred, and</w:t>
      </w:r>
    </w:p>
    <w:p>
      <w:pPr>
        <w:pStyle w:val="Normal"/>
        <w:numPr>
          <w:ilvl w:val="0"/>
          <w:numId w:val="3"/>
        </w:numPr>
        <w:spacing w:lineRule="auto" w:line="276" w:before="120" w:after="120"/>
        <w:ind w:hanging="360" w:start="1418"/>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what rights, complaint mechanisms, and remedies the data subject has during the course of data processing.</w:t>
      </w:r>
    </w:p>
    <w:p>
      <w:pPr>
        <w:pStyle w:val="Normal"/>
        <w:numPr>
          <w:ilvl w:val="1"/>
          <w:numId w:val="1"/>
        </w:numPr>
        <w:spacing w:lineRule="auto" w:line="276" w:before="120" w:after="120"/>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 xml:space="preserve">The data subject has the right to have inaccurate (incorrect or incomplete) personal data concerning them rectified or corrected, pursuant to Article 16 of the General Data Protection Regulation (right to rectification). </w:t>
      </w:r>
    </w:p>
    <w:p>
      <w:pPr>
        <w:pStyle w:val="Normal"/>
        <w:numPr>
          <w:ilvl w:val="1"/>
          <w:numId w:val="1"/>
        </w:numPr>
        <w:spacing w:lineRule="auto" w:line="276" w:before="120" w:after="120"/>
        <w:ind w:hanging="6" w:start="284"/>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In accordance with Article 17 of the General Data Protection Regulation, the data subject has the right to the erasure of their personal data (right to erasure) if:</w:t>
      </w:r>
    </w:p>
    <w:p>
      <w:pPr>
        <w:pStyle w:val="Normal"/>
        <w:numPr>
          <w:ilvl w:val="0"/>
          <w:numId w:val="4"/>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personal data are no longer necessary for the purpose for which they were collected or otherwise processed;</w:t>
      </w:r>
    </w:p>
    <w:p>
      <w:pPr>
        <w:pStyle w:val="Normal"/>
        <w:numPr>
          <w:ilvl w:val="0"/>
          <w:numId w:val="4"/>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in the case of processing based on consent, the data subject withdraws their consent and there is no other legal basis for the processing;</w:t>
      </w:r>
    </w:p>
    <w:p>
      <w:pPr>
        <w:pStyle w:val="Normal"/>
        <w:numPr>
          <w:ilvl w:val="0"/>
          <w:numId w:val="4"/>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data subject has successfully objected to the processing pursuant to Section 7.7;</w:t>
      </w:r>
    </w:p>
    <w:p>
      <w:pPr>
        <w:pStyle w:val="Normal"/>
        <w:numPr>
          <w:ilvl w:val="0"/>
          <w:numId w:val="4"/>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personal data have been processed unlawfully;</w:t>
      </w:r>
    </w:p>
    <w:p>
      <w:pPr>
        <w:pStyle w:val="Normal"/>
        <w:numPr>
          <w:ilvl w:val="0"/>
          <w:numId w:val="4"/>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personal data must be erased to comply with a legal obligation.</w:t>
      </w:r>
    </w:p>
    <w:p>
      <w:pPr>
        <w:pStyle w:val="Normal"/>
        <w:spacing w:lineRule="auto" w:line="276" w:before="120" w:after="120"/>
        <w:ind w:firstLine="709" w:start="567"/>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Data will not be erased if the processing is necessary for:</w:t>
      </w:r>
    </w:p>
    <w:p>
      <w:pPr>
        <w:pStyle w:val="Normal"/>
        <w:numPr>
          <w:ilvl w:val="0"/>
          <w:numId w:val="5"/>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compliance with a legal obligation, or the performance of a task carried out in the public interest or in the exercise of official authority;</w:t>
      </w:r>
    </w:p>
    <w:p>
      <w:pPr>
        <w:pStyle w:val="Normal"/>
        <w:numPr>
          <w:ilvl w:val="0"/>
          <w:numId w:val="5"/>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establishment, exercise, or defense of legal claims;</w:t>
      </w:r>
    </w:p>
    <w:p>
      <w:pPr>
        <w:pStyle w:val="Normal"/>
        <w:numPr>
          <w:ilvl w:val="0"/>
          <w:numId w:val="5"/>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exercise of the right to freedom of expression and information;</w:t>
      </w:r>
    </w:p>
    <w:p>
      <w:pPr>
        <w:pStyle w:val="Normal"/>
        <w:numPr>
          <w:ilvl w:val="0"/>
          <w:numId w:val="5"/>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reasons of public interest in the area of public health;</w:t>
      </w:r>
    </w:p>
    <w:p>
      <w:pPr>
        <w:pStyle w:val="Normal"/>
        <w:numPr>
          <w:ilvl w:val="0"/>
          <w:numId w:val="5"/>
        </w:numPr>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archiving purposes in the public interest, scientific or historical research purposes, or statistical purposes, insofar as erasure is likely to render impossible or seriously impair the achievement of the objectives of such processing.</w:t>
      </w:r>
    </w:p>
    <w:p>
      <w:pPr>
        <w:pStyle w:val="Normal"/>
        <w:numPr>
          <w:ilvl w:val="1"/>
          <w:numId w:val="1"/>
        </w:numPr>
        <w:spacing w:lineRule="auto" w:line="276" w:before="120" w:after="120"/>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data subject has the right, under Article 18 of the General Data Protection Regulation, to request the restriction of the processing of their personal data (right to restriction of processing) if:</w:t>
      </w:r>
    </w:p>
    <w:p>
      <w:pPr>
        <w:pStyle w:val="Normal"/>
        <w:numPr>
          <w:ilvl w:val="0"/>
          <w:numId w:val="6"/>
        </w:numPr>
        <w:tabs>
          <w:tab w:val="clear" w:pos="708"/>
          <w:tab w:val="left" w:pos="993" w:leader="none"/>
        </w:tabs>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data subject contests the accuracy of the personal data; in this case, the restriction applies for the period enabling the University to verify the accuracy of the personal data;</w:t>
      </w:r>
    </w:p>
    <w:p>
      <w:pPr>
        <w:pStyle w:val="Normal"/>
        <w:numPr>
          <w:ilvl w:val="0"/>
          <w:numId w:val="6"/>
        </w:numPr>
        <w:tabs>
          <w:tab w:val="clear" w:pos="708"/>
          <w:tab w:val="left" w:pos="993" w:leader="none"/>
        </w:tabs>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data subject has objected to processing under Section 7.7; in this case, the restriction applies for the period until it is determined whether the University will uphold the objection;</w:t>
      </w:r>
    </w:p>
    <w:p>
      <w:pPr>
        <w:pStyle w:val="Normal"/>
        <w:numPr>
          <w:ilvl w:val="0"/>
          <w:numId w:val="6"/>
        </w:numPr>
        <w:tabs>
          <w:tab w:val="clear" w:pos="708"/>
          <w:tab w:val="left" w:pos="993" w:leader="none"/>
        </w:tabs>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processing is unlawful, and the data subject opposes the erasure of the data and requests the restriction of their use instead; or</w:t>
      </w:r>
    </w:p>
    <w:p>
      <w:pPr>
        <w:pStyle w:val="Normal"/>
        <w:numPr>
          <w:ilvl w:val="0"/>
          <w:numId w:val="6"/>
        </w:numPr>
        <w:tabs>
          <w:tab w:val="clear" w:pos="708"/>
          <w:tab w:val="left" w:pos="993" w:leader="none"/>
        </w:tabs>
        <w:spacing w:lineRule="auto" w:line="276" w:before="120" w:after="120"/>
        <w:ind w:hanging="360" w:start="1276"/>
        <w:contextualSpacing/>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University no longer needs the personal data for the purposes of processing, but the data subject requires them for the establishment, exercise, or defense of legal claims.</w:t>
      </w:r>
    </w:p>
    <w:p>
      <w:pPr>
        <w:pStyle w:val="Normal"/>
        <w:numPr>
          <w:ilvl w:val="1"/>
          <w:numId w:val="1"/>
        </w:numPr>
        <w:spacing w:lineRule="auto" w:line="276" w:before="120" w:after="120"/>
        <w:ind w:hanging="6" w:start="790"/>
        <w:jc w:val="both"/>
        <w:rPr>
          <w:rFonts w:ascii="Times New Roman" w:hAnsi="Times New Roman" w:eastAsia="Calibri" w:cs="Times New Roman"/>
          <w:szCs w:val="20"/>
          <w:lang w:val="en-US"/>
        </w:rPr>
      </w:pPr>
      <w:r>
        <w:rPr>
          <w:rFonts w:eastAsia="Calibri" w:cs="Times New Roman" w:ascii="Times New Roman" w:hAnsi="Times New Roman"/>
          <w:szCs w:val="20"/>
          <w:lang w:val="en-US"/>
        </w:rPr>
        <w:t>Personal data subject to restriction may, apart from storage, only be processed with the data subject’s consent, or for the establishment, exercise, or defense of legal claims, or for the protection of the rights of another natural or legal person, or for important reasons of public interest of the Union or a Member State.</w:t>
      </w:r>
    </w:p>
    <w:p>
      <w:pPr>
        <w:pStyle w:val="Normal"/>
        <w:numPr>
          <w:ilvl w:val="1"/>
          <w:numId w:val="1"/>
        </w:numPr>
        <w:spacing w:lineRule="auto" w:line="276" w:before="120" w:after="120"/>
        <w:ind w:hanging="6" w:start="790"/>
        <w:jc w:val="both"/>
        <w:rPr>
          <w:rFonts w:ascii="Times New Roman" w:hAnsi="Times New Roman" w:eastAsia="Calibri" w:cs="Times New Roman"/>
          <w:szCs w:val="20"/>
          <w:lang w:val="en-US"/>
        </w:rPr>
      </w:pPr>
      <w:r>
        <w:rPr>
          <w:rFonts w:eastAsia="Calibri" w:cs="Times New Roman" w:ascii="Times New Roman" w:hAnsi="Times New Roman"/>
          <w:szCs w:val="20"/>
          <w:lang w:val="en-US"/>
        </w:rPr>
        <w:t>In the case of data processing based on consent, the data subject has the right to withdraw their consent at any time without justification, pursuant to Article 7 (3) of the General Data Protection Regulation (right to withdraw consent). The withdrawal must be made in writing or in the same form in which the consent was given. The withdrawal does not affect the lawfulness of data processing carried out prior to the withdrawal.</w:t>
      </w:r>
    </w:p>
    <w:p>
      <w:pPr>
        <w:pStyle w:val="Normal"/>
        <w:numPr>
          <w:ilvl w:val="1"/>
          <w:numId w:val="1"/>
        </w:numPr>
        <w:spacing w:lineRule="auto" w:line="276" w:before="120" w:after="120"/>
        <w:ind w:hanging="6" w:start="790"/>
        <w:jc w:val="both"/>
        <w:rPr>
          <w:rFonts w:ascii="Times New Roman" w:hAnsi="Times New Roman" w:eastAsia="Calibri" w:cs="Times New Roman"/>
          <w:szCs w:val="20"/>
          <w:lang w:val="en-US"/>
        </w:rPr>
      </w:pPr>
      <w:r>
        <w:rPr>
          <w:rFonts w:eastAsia="Calibri" w:cs="Times New Roman" w:ascii="Times New Roman" w:hAnsi="Times New Roman"/>
          <w:szCs w:val="20"/>
          <w:lang w:val="en-US"/>
        </w:rPr>
        <w:t>In the case of automated (electronic) data processing based on consent or for the performance of a contract, the data subject has the right, under Article 20 of the General Data Protection Regulation, to receive the personal data concerning them, which they have provided, in a commonly used electronic format, or to request that the University transmit those data to another data controller (right to data portability).</w:t>
      </w:r>
    </w:p>
    <w:p>
      <w:pPr>
        <w:pStyle w:val="Normal"/>
        <w:numPr>
          <w:ilvl w:val="1"/>
          <w:numId w:val="1"/>
        </w:numPr>
        <w:spacing w:lineRule="auto" w:line="276" w:before="120" w:after="120"/>
        <w:ind w:hanging="6" w:start="790"/>
        <w:jc w:val="both"/>
        <w:rPr>
          <w:rFonts w:ascii="Times New Roman" w:hAnsi="Times New Roman" w:eastAsia="Calibri" w:cs="Times New Roman"/>
          <w:szCs w:val="20"/>
          <w:lang w:val="en-US"/>
        </w:rPr>
      </w:pPr>
      <w:r>
        <w:rPr>
          <w:rFonts w:eastAsia="Calibri" w:cs="Times New Roman" w:ascii="Times New Roman" w:hAnsi="Times New Roman"/>
          <w:szCs w:val="20"/>
          <w:lang w:val="en-US"/>
        </w:rPr>
        <w:t>In the case of data processing carried out for the performance of a public task or in the exercise of official authority, as well as processing based on a balancing of interests, the data subject has the right to object to the processing on grounds relating to their particular situation (right to object). Pursuant to Article 21 of the General Data Protection Regulation, the University may no longer process the personal data unless it demonstrates compelling legitimate grounds for the processing which override the interests, rights, and freedoms of the data subject, or which are related to the establishment, exercise, or defense of legal claims.</w:t>
      </w:r>
    </w:p>
    <w:p>
      <w:pPr>
        <w:pStyle w:val="Normal"/>
        <w:numPr>
          <w:ilvl w:val="1"/>
          <w:numId w:val="1"/>
        </w:numPr>
        <w:spacing w:lineRule="auto" w:line="276" w:before="120" w:after="120"/>
        <w:ind w:hanging="6" w:start="790"/>
        <w:jc w:val="both"/>
        <w:rPr>
          <w:rFonts w:ascii="Times New Roman" w:hAnsi="Times New Roman" w:eastAsia="Calibri" w:cs="Times New Roman"/>
          <w:szCs w:val="20"/>
          <w:lang w:val="en-US"/>
        </w:rPr>
      </w:pPr>
      <w:r>
        <w:rPr>
          <w:rFonts w:eastAsia="Calibri" w:cs="Times New Roman" w:ascii="Times New Roman" w:hAnsi="Times New Roman"/>
          <w:szCs w:val="20"/>
          <w:lang w:val="en-US"/>
        </w:rPr>
        <w:t>The data subject may exercise their rights free of charge through the contact person specified in Section 1 or via the Data Protection Officer’s contact details. In most cases, the exercise of data subject rights requires the identification of the data subject, while in some cases (e.g., exercising the right to rectification) the verification of additional information may be necessary. The University will assess the request for the exercise of data subject rights within one month at the latest. If necessary, taking into account the complexity of the request and the number of requests, this deadline may be extended by an additional two months. The data subject will be informed of any such extension within one month.</w:t>
      </w:r>
    </w:p>
    <w:p>
      <w:pPr>
        <w:pStyle w:val="Normal"/>
        <w:numPr>
          <w:ilvl w:val="0"/>
          <w:numId w:val="1"/>
        </w:numPr>
        <w:shd w:val="clear" w:color="auto" w:fill="BDD6EE"/>
        <w:spacing w:lineRule="auto" w:line="276" w:before="120" w:after="120"/>
        <w:ind w:hanging="426" w:start="426"/>
        <w:contextualSpacing/>
        <w:jc w:val="both"/>
        <w:rPr>
          <w:rFonts w:ascii="Times New Roman" w:hAnsi="Times New Roman" w:eastAsia="Calibri" w:cs="Times New Roman"/>
          <w:b/>
          <w:smallCaps/>
          <w:lang w:val="en-US"/>
        </w:rPr>
      </w:pPr>
      <w:r>
        <w:rPr>
          <w:rFonts w:eastAsia="Calibri" w:cs="Times New Roman" w:ascii="Times New Roman" w:hAnsi="Times New Roman"/>
          <w:b/>
          <w:smallCaps/>
          <w:lang w:val="en-US"/>
        </w:rPr>
        <w:t>COMPLAINT AND REMEDY OPTIONS</w:t>
      </w:r>
    </w:p>
    <w:p>
      <w:pPr>
        <w:pStyle w:val="Normal"/>
        <w:spacing w:lineRule="auto" w:line="240" w:before="0" w:after="120"/>
        <w:jc w:val="both"/>
        <w:rPr>
          <w:rFonts w:ascii="Times New Roman" w:hAnsi="Times New Roman" w:eastAsia="Times New Roman" w:cs="Times New Roman"/>
          <w:kern w:val="0"/>
          <w:lang w:eastAsia="hu-HU"/>
          <w14:ligatures w14:val="none"/>
        </w:rPr>
      </w:pPr>
      <w:r>
        <w:rPr>
          <w:rFonts w:eastAsia="Times New Roman" w:cs="Times New Roman" w:ascii="Times New Roman" w:hAnsi="Times New Roman"/>
          <w:kern w:val="0"/>
          <w:lang w:eastAsia="hu-HU"/>
          <w14:ligatures w14:val="none"/>
        </w:rPr>
        <w:t>Any complaints regarding data processing may be submitted via the contact details of the contact person specified in Section 1 or addressed to the University’s Data Protection Officer (adatvedelem@pte.hu).</w:t>
      </w:r>
    </w:p>
    <w:p>
      <w:pPr>
        <w:pStyle w:val="Normal"/>
        <w:spacing w:lineRule="auto" w:line="240" w:before="0" w:after="120"/>
        <w:jc w:val="both"/>
        <w:rPr>
          <w:rFonts w:ascii="Times New Roman" w:hAnsi="Times New Roman" w:eastAsia="Times New Roman" w:cs="Times New Roman"/>
          <w:kern w:val="0"/>
          <w:lang w:eastAsia="hu-HU"/>
          <w14:ligatures w14:val="none"/>
        </w:rPr>
      </w:pPr>
      <w:r>
        <w:rPr>
          <w:rFonts w:eastAsia="Times New Roman" w:cs="Times New Roman" w:ascii="Times New Roman" w:hAnsi="Times New Roman"/>
          <w:kern w:val="0"/>
          <w:lang w:eastAsia="hu-HU"/>
          <w14:ligatures w14:val="none"/>
        </w:rPr>
        <w:t>If you wish to submit a complaint by post, it should be addressed to the contact person or the Data Protection Officer at 7622 Pécs, Vasvári Pál u. 4.</w:t>
      </w:r>
    </w:p>
    <w:p>
      <w:pPr>
        <w:pStyle w:val="Normal"/>
        <w:spacing w:lineRule="auto" w:line="240" w:before="0" w:after="120"/>
        <w:jc w:val="both"/>
        <w:rPr>
          <w:rFonts w:ascii="Times New Roman" w:hAnsi="Times New Roman" w:eastAsia="Times New Roman" w:cs="Times New Roman"/>
          <w:kern w:val="0"/>
          <w:lang w:eastAsia="hu-HU"/>
          <w14:ligatures w14:val="none"/>
        </w:rPr>
      </w:pPr>
      <w:r>
        <w:rPr>
          <w:rFonts w:eastAsia="Times New Roman" w:cs="Times New Roman" w:ascii="Times New Roman" w:hAnsi="Times New Roman"/>
          <w:kern w:val="0"/>
          <w:lang w:eastAsia="hu-HU"/>
          <w14:ligatures w14:val="none"/>
        </w:rPr>
        <w:t xml:space="preserve">If you believe that you have suffered a violation of your rights in connection with the processing of your personal data, or if there is an imminent risk of such a violation, you may contact the </w:t>
      </w:r>
      <w:r>
        <w:rPr>
          <w:rFonts w:eastAsia="Times New Roman" w:cs="Times New Roman" w:ascii="Times New Roman" w:hAnsi="Times New Roman"/>
          <w:b/>
          <w:bCs/>
          <w:kern w:val="0"/>
          <w:lang w:eastAsia="hu-HU"/>
          <w14:ligatures w14:val="none"/>
        </w:rPr>
        <w:t>National Authority for Data Protection and Freedom of Information (NAIH)</w:t>
      </w:r>
      <w:r>
        <w:rPr>
          <w:rFonts w:eastAsia="Times New Roman" w:cs="Times New Roman" w:ascii="Times New Roman" w:hAnsi="Times New Roman"/>
          <w:kern w:val="0"/>
          <w:lang w:eastAsia="hu-HU"/>
          <w14:ligatures w14:val="none"/>
        </w:rPr>
        <w:t xml:space="preserve"> (mailing address: 1363 Budapest, Pf. 9.; phone: +36 (1) 391 1400; e-mail: ugyfelszolgalat@naih.hu; website: </w:t>
      </w:r>
      <w:hyperlink r:id="rId5" w:tgtFrame="_new">
        <w:r>
          <w:rPr>
            <w:rStyle w:val="ListLabel57"/>
            <w:rFonts w:eastAsia="Times New Roman" w:cs="Times New Roman" w:ascii="Times New Roman" w:hAnsi="Times New Roman"/>
            <w:color w:val="0563C1"/>
            <w:kern w:val="0"/>
            <w:u w:val="single"/>
            <w:lang w:eastAsia="hu-HU"/>
            <w14:ligatures w14:val="none"/>
          </w:rPr>
          <w:t>https://naih.hu</w:t>
        </w:r>
      </w:hyperlink>
      <w:r>
        <w:rPr>
          <w:rFonts w:eastAsia="Times New Roman" w:cs="Times New Roman" w:ascii="Times New Roman" w:hAnsi="Times New Roman"/>
          <w:kern w:val="0"/>
          <w:lang w:eastAsia="hu-HU"/>
          <w14:ligatures w14:val="none"/>
        </w:rPr>
        <w:t>).</w:t>
      </w:r>
    </w:p>
    <w:p>
      <w:pPr>
        <w:pStyle w:val="Normal"/>
        <w:spacing w:lineRule="auto" w:line="240" w:before="0" w:after="120"/>
        <w:jc w:val="both"/>
        <w:rPr>
          <w:rFonts w:ascii="Times New Roman" w:hAnsi="Times New Roman" w:eastAsia="Times New Roman" w:cs="Times New Roman"/>
          <w:kern w:val="0"/>
          <w:lang w:eastAsia="hu-HU"/>
          <w14:ligatures w14:val="none"/>
        </w:rPr>
      </w:pPr>
      <w:r>
        <w:rPr>
          <w:rFonts w:eastAsia="Times New Roman" w:cs="Times New Roman" w:ascii="Times New Roman" w:hAnsi="Times New Roman"/>
          <w:kern w:val="0"/>
          <w:lang w:eastAsia="hu-HU"/>
          <w14:ligatures w14:val="none"/>
        </w:rPr>
        <w:t>In the event of a violation of your data protection rights, you may also bring the matter before a court of law. At your discretion, the lawsuit may also be initiated before the competent regional court based on your place of residence or place of stay.</w:t>
      </w:r>
    </w:p>
    <w:p>
      <w:pPr>
        <w:pStyle w:val="Normal"/>
        <w:spacing w:lineRule="auto" w:line="360" w:before="0" w:afterAutospacing="1"/>
        <w:jc w:val="both"/>
        <w:rPr>
          <w:rFonts w:ascii="Times New Roman" w:hAnsi="Times New Roman" w:eastAsia="Calibri" w:cs="Times New Roman"/>
          <w:szCs w:val="20"/>
          <w:lang w:val="en-US"/>
        </w:rPr>
      </w:pPr>
      <w:r>
        <w:rPr>
          <w:rFonts w:eastAsia="Calibri" w:cs="Times New Roman" w:ascii="Times New Roman" w:hAnsi="Times New Roman"/>
          <w:szCs w:val="20"/>
          <w:lang w:val="en-US"/>
        </w:rPr>
      </w:r>
    </w:p>
    <w:p>
      <w:pPr>
        <w:pStyle w:val="Normal"/>
        <w:widowControl/>
        <w:bidi w:val="0"/>
        <w:spacing w:lineRule="auto" w:line="276" w:before="0" w:after="160"/>
        <w:jc w:val="start"/>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ptos">
    <w:charset w:val="01" w:characterSet="utf-8"/>
    <w:family w:val="roman"/>
    <w:pitch w:val="variable"/>
  </w:font>
  <w:font w:name="Aptos Display">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isLgl/>
      <w:numFmt w:val="decimal"/>
      <w:lvlText w:val="%1.%2."/>
      <w:lvlJc w:val="start"/>
      <w:pPr>
        <w:tabs>
          <w:tab w:val="num" w:pos="0"/>
        </w:tabs>
        <w:ind w:start="790" w:hanging="430"/>
      </w:pPr>
      <w:rPr/>
    </w:lvl>
    <w:lvl w:ilvl="2">
      <w:start w:val="1"/>
      <w:isLgl/>
      <w:numFmt w:val="decimal"/>
      <w:lvlText w:val="%1.%2.%3."/>
      <w:lvlJc w:val="start"/>
      <w:pPr>
        <w:tabs>
          <w:tab w:val="num" w:pos="0"/>
        </w:tabs>
        <w:ind w:start="1080" w:hanging="720"/>
      </w:pPr>
      <w:rPr/>
    </w:lvl>
    <w:lvl w:ilvl="3">
      <w:start w:val="1"/>
      <w:isLgl/>
      <w:numFmt w:val="decimal"/>
      <w:lvlText w:val="%1.%2.%3.%4."/>
      <w:lvlJc w:val="start"/>
      <w:pPr>
        <w:tabs>
          <w:tab w:val="num" w:pos="0"/>
        </w:tabs>
        <w:ind w:start="1080" w:hanging="720"/>
      </w:pPr>
      <w:rPr/>
    </w:lvl>
    <w:lvl w:ilvl="4">
      <w:start w:val="1"/>
      <w:isLgl/>
      <w:numFmt w:val="decimal"/>
      <w:lvlText w:val="%1.%2.%3.%4.%5."/>
      <w:lvlJc w:val="start"/>
      <w:pPr>
        <w:tabs>
          <w:tab w:val="num" w:pos="0"/>
        </w:tabs>
        <w:ind w:start="1440" w:hanging="1080"/>
      </w:pPr>
      <w:rPr/>
    </w:lvl>
    <w:lvl w:ilvl="5">
      <w:start w:val="1"/>
      <w:isLgl/>
      <w:numFmt w:val="decimal"/>
      <w:lvlText w:val="%1.%2.%3.%4.%5.%6."/>
      <w:lvlJc w:val="start"/>
      <w:pPr>
        <w:tabs>
          <w:tab w:val="num" w:pos="0"/>
        </w:tabs>
        <w:ind w:start="1440" w:hanging="1080"/>
      </w:pPr>
      <w:rPr/>
    </w:lvl>
    <w:lvl w:ilvl="6">
      <w:start w:val="1"/>
      <w:isLgl/>
      <w:numFmt w:val="decimal"/>
      <w:lvlText w:val="%1.%2.%3.%4.%5.%6.%7."/>
      <w:lvlJc w:val="start"/>
      <w:pPr>
        <w:tabs>
          <w:tab w:val="num" w:pos="0"/>
        </w:tabs>
        <w:ind w:start="1800" w:hanging="1440"/>
      </w:pPr>
      <w:rPr/>
    </w:lvl>
    <w:lvl w:ilvl="7">
      <w:start w:val="1"/>
      <w:isLgl/>
      <w:numFmt w:val="decimal"/>
      <w:lvlText w:val="%1.%2.%3.%4.%5.%6.%7.%8."/>
      <w:lvlJc w:val="start"/>
      <w:pPr>
        <w:tabs>
          <w:tab w:val="num" w:pos="0"/>
        </w:tabs>
        <w:ind w:start="1800" w:hanging="1440"/>
      </w:pPr>
      <w:rPr/>
    </w:lvl>
    <w:lvl w:ilvl="8">
      <w:start w:val="1"/>
      <w:isLgl/>
      <w:numFmt w:val="decimal"/>
      <w:lvlText w:val="%1.%2.%3.%4.%5.%6.%7.%8.%9."/>
      <w:lvlJc w:val="start"/>
      <w:pPr>
        <w:tabs>
          <w:tab w:val="num" w:pos="0"/>
        </w:tabs>
        <w:ind w:start="2160" w:hanging="1800"/>
      </w:pPr>
      <w:rPr/>
    </w:lvl>
  </w:abstractNum>
  <w:abstractNum w:abstractNumId="2">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hu-HU" w:eastAsia="en-US" w:bidi="ar-SA"/>
        <w14:ligatures w14:val="standardContextual"/>
      </w:rPr>
    </w:rPrDefault>
    <w:pPrDefault>
      <w:pPr>
        <w:widowControl/>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start"/>
    </w:pPr>
    <w:rPr>
      <w:rFonts w:ascii="Aptos" w:hAnsi="Aptos" w:eastAsia="Aptos" w:cs="" w:asciiTheme="minorHAnsi" w:cstheme="minorBidi" w:eastAsiaTheme="minorHAnsi" w:hAnsiTheme="minorHAnsi"/>
      <w:color w:val="auto"/>
      <w:kern w:val="2"/>
      <w:sz w:val="24"/>
      <w:szCs w:val="24"/>
      <w:lang w:val="hu-HU" w:eastAsia="en-US" w:bidi="ar-SA"/>
      <w14:ligatures w14:val="standardContextual"/>
    </w:rPr>
  </w:style>
  <w:style w:type="paragraph" w:styleId="Heading1">
    <w:name w:val="Heading 1"/>
    <w:basedOn w:val="Normal"/>
    <w:next w:val="Normal"/>
    <w:link w:val="Cmsor1Char"/>
    <w:uiPriority w:val="9"/>
    <w:qFormat/>
    <w:rsid w:val="00cc3f3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Cmsor2Char"/>
    <w:uiPriority w:val="9"/>
    <w:semiHidden/>
    <w:unhideWhenUsed/>
    <w:qFormat/>
    <w:rsid w:val="00cc3f3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Cmsor3Char"/>
    <w:uiPriority w:val="9"/>
    <w:semiHidden/>
    <w:unhideWhenUsed/>
    <w:qFormat/>
    <w:rsid w:val="00cc3f3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Cmsor4Char"/>
    <w:uiPriority w:val="9"/>
    <w:semiHidden/>
    <w:unhideWhenUsed/>
    <w:qFormat/>
    <w:rsid w:val="00cc3f3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Cmsor5Char"/>
    <w:uiPriority w:val="9"/>
    <w:semiHidden/>
    <w:unhideWhenUsed/>
    <w:qFormat/>
    <w:rsid w:val="00cc3f3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Cmsor6Char"/>
    <w:uiPriority w:val="9"/>
    <w:semiHidden/>
    <w:unhideWhenUsed/>
    <w:qFormat/>
    <w:rsid w:val="00cc3f3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Cmsor7Char"/>
    <w:uiPriority w:val="9"/>
    <w:semiHidden/>
    <w:unhideWhenUsed/>
    <w:qFormat/>
    <w:rsid w:val="00cc3f3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Cmsor8Char"/>
    <w:uiPriority w:val="9"/>
    <w:semiHidden/>
    <w:unhideWhenUsed/>
    <w:qFormat/>
    <w:rsid w:val="00cc3f3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Cmsor9Char"/>
    <w:uiPriority w:val="9"/>
    <w:semiHidden/>
    <w:unhideWhenUsed/>
    <w:qFormat/>
    <w:rsid w:val="00cc3f3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uiPriority w:val="9"/>
    <w:qFormat/>
    <w:rsid w:val="00cc3f33"/>
    <w:rPr>
      <w:rFonts w:ascii="Aptos Display" w:hAnsi="Aptos Display" w:eastAsia="" w:cs="" w:asciiTheme="majorHAnsi" w:cstheme="majorBidi" w:eastAsiaTheme="majorEastAsia" w:hAnsiTheme="majorHAnsi"/>
      <w:color w:themeColor="accent1" w:themeShade="bf" w:val="0F4761"/>
      <w:sz w:val="40"/>
      <w:szCs w:val="40"/>
    </w:rPr>
  </w:style>
  <w:style w:type="character" w:styleId="Cmsor2Char" w:customStyle="1">
    <w:name w:val="Címsor 2 Char"/>
    <w:basedOn w:val="DefaultParagraphFont"/>
    <w:uiPriority w:val="9"/>
    <w:semiHidden/>
    <w:qFormat/>
    <w:rsid w:val="00cc3f33"/>
    <w:rPr>
      <w:rFonts w:ascii="Aptos Display" w:hAnsi="Aptos Display" w:eastAsia="" w:cs="" w:asciiTheme="majorHAnsi" w:cstheme="majorBidi" w:eastAsiaTheme="majorEastAsia" w:hAnsiTheme="majorHAnsi"/>
      <w:color w:themeColor="accent1" w:themeShade="bf" w:val="0F4761"/>
      <w:sz w:val="32"/>
      <w:szCs w:val="32"/>
    </w:rPr>
  </w:style>
  <w:style w:type="character" w:styleId="Cmsor3Char" w:customStyle="1">
    <w:name w:val="Címsor 3 Char"/>
    <w:basedOn w:val="DefaultParagraphFont"/>
    <w:uiPriority w:val="9"/>
    <w:semiHidden/>
    <w:qFormat/>
    <w:rsid w:val="00cc3f33"/>
    <w:rPr>
      <w:rFonts w:eastAsia="" w:cs="" w:cstheme="majorBidi" w:eastAsiaTheme="majorEastAsia"/>
      <w:color w:themeColor="accent1" w:themeShade="bf" w:val="0F4761"/>
      <w:sz w:val="28"/>
      <w:szCs w:val="28"/>
    </w:rPr>
  </w:style>
  <w:style w:type="character" w:styleId="Cmsor4Char" w:customStyle="1">
    <w:name w:val="Címsor 4 Char"/>
    <w:basedOn w:val="DefaultParagraphFont"/>
    <w:uiPriority w:val="9"/>
    <w:semiHidden/>
    <w:qFormat/>
    <w:rsid w:val="00cc3f33"/>
    <w:rPr>
      <w:rFonts w:eastAsia="" w:cs="" w:cstheme="majorBidi" w:eastAsiaTheme="majorEastAsia"/>
      <w:i/>
      <w:iCs/>
      <w:color w:themeColor="accent1" w:themeShade="bf" w:val="0F4761"/>
    </w:rPr>
  </w:style>
  <w:style w:type="character" w:styleId="Cmsor5Char" w:customStyle="1">
    <w:name w:val="Címsor 5 Char"/>
    <w:basedOn w:val="DefaultParagraphFont"/>
    <w:uiPriority w:val="9"/>
    <w:semiHidden/>
    <w:qFormat/>
    <w:rsid w:val="00cc3f33"/>
    <w:rPr>
      <w:rFonts w:eastAsia="" w:cs="" w:cstheme="majorBidi" w:eastAsiaTheme="majorEastAsia"/>
      <w:color w:themeColor="accent1" w:themeShade="bf" w:val="0F4761"/>
    </w:rPr>
  </w:style>
  <w:style w:type="character" w:styleId="Cmsor6Char" w:customStyle="1">
    <w:name w:val="Címsor 6 Char"/>
    <w:basedOn w:val="DefaultParagraphFont"/>
    <w:uiPriority w:val="9"/>
    <w:semiHidden/>
    <w:qFormat/>
    <w:rsid w:val="00cc3f33"/>
    <w:rPr>
      <w:rFonts w:eastAsia="" w:cs="" w:cstheme="majorBidi" w:eastAsiaTheme="majorEastAsia"/>
      <w:i/>
      <w:iCs/>
      <w:color w:themeColor="text1" w:themeTint="a6" w:val="595959"/>
    </w:rPr>
  </w:style>
  <w:style w:type="character" w:styleId="Cmsor7Char" w:customStyle="1">
    <w:name w:val="Címsor 7 Char"/>
    <w:basedOn w:val="DefaultParagraphFont"/>
    <w:uiPriority w:val="9"/>
    <w:semiHidden/>
    <w:qFormat/>
    <w:rsid w:val="00cc3f33"/>
    <w:rPr>
      <w:rFonts w:eastAsia="" w:cs="" w:cstheme="majorBidi" w:eastAsiaTheme="majorEastAsia"/>
      <w:color w:themeColor="text1" w:themeTint="a6" w:val="595959"/>
    </w:rPr>
  </w:style>
  <w:style w:type="character" w:styleId="Cmsor8Char" w:customStyle="1">
    <w:name w:val="Címsor 8 Char"/>
    <w:basedOn w:val="DefaultParagraphFont"/>
    <w:uiPriority w:val="9"/>
    <w:semiHidden/>
    <w:qFormat/>
    <w:rsid w:val="00cc3f33"/>
    <w:rPr>
      <w:rFonts w:eastAsia="" w:cs="" w:cstheme="majorBidi" w:eastAsiaTheme="majorEastAsia"/>
      <w:i/>
      <w:iCs/>
      <w:color w:themeColor="text1" w:themeTint="d8" w:val="272727"/>
    </w:rPr>
  </w:style>
  <w:style w:type="character" w:styleId="Cmsor9Char" w:customStyle="1">
    <w:name w:val="Címsor 9 Char"/>
    <w:basedOn w:val="DefaultParagraphFont"/>
    <w:uiPriority w:val="9"/>
    <w:semiHidden/>
    <w:qFormat/>
    <w:rsid w:val="00cc3f33"/>
    <w:rPr>
      <w:rFonts w:eastAsia="" w:cs="" w:cstheme="majorBidi" w:eastAsiaTheme="majorEastAsia"/>
      <w:color w:themeColor="text1" w:themeTint="d8" w:val="272727"/>
    </w:rPr>
  </w:style>
  <w:style w:type="character" w:styleId="CmChar" w:customStyle="1">
    <w:name w:val="Cím Char"/>
    <w:basedOn w:val="DefaultParagraphFont"/>
    <w:uiPriority w:val="10"/>
    <w:qFormat/>
    <w:rsid w:val="00cc3f33"/>
    <w:rPr>
      <w:rFonts w:ascii="Aptos Display" w:hAnsi="Aptos Display" w:eastAsia="" w:cs="" w:asciiTheme="majorHAnsi" w:cstheme="majorBidi" w:eastAsiaTheme="majorEastAsia" w:hAnsiTheme="majorHAnsi"/>
      <w:spacing w:val="-10"/>
      <w:kern w:val="2"/>
      <w:sz w:val="56"/>
      <w:szCs w:val="56"/>
    </w:rPr>
  </w:style>
  <w:style w:type="character" w:styleId="AlcmChar" w:customStyle="1">
    <w:name w:val="Alcím Char"/>
    <w:basedOn w:val="DefaultParagraphFont"/>
    <w:uiPriority w:val="11"/>
    <w:qFormat/>
    <w:rsid w:val="00cc3f33"/>
    <w:rPr>
      <w:rFonts w:eastAsia="" w:cs="" w:cstheme="majorBidi" w:eastAsiaTheme="majorEastAsia"/>
      <w:color w:themeColor="text1" w:themeTint="a6" w:val="595959"/>
      <w:spacing w:val="15"/>
      <w:sz w:val="28"/>
      <w:szCs w:val="28"/>
    </w:rPr>
  </w:style>
  <w:style w:type="character" w:styleId="IdzetChar" w:customStyle="1">
    <w:name w:val="Idézet Char"/>
    <w:basedOn w:val="DefaultParagraphFont"/>
    <w:link w:val="Quote"/>
    <w:uiPriority w:val="29"/>
    <w:qFormat/>
    <w:rsid w:val="00cc3f33"/>
    <w:rPr>
      <w:i/>
      <w:iCs/>
      <w:color w:themeColor="text1" w:themeTint="bf" w:val="404040"/>
    </w:rPr>
  </w:style>
  <w:style w:type="character" w:styleId="IntenseEmphasis">
    <w:name w:val="Intense Emphasis"/>
    <w:basedOn w:val="DefaultParagraphFont"/>
    <w:uiPriority w:val="21"/>
    <w:qFormat/>
    <w:rsid w:val="00cc3f33"/>
    <w:rPr>
      <w:i/>
      <w:iCs/>
      <w:color w:themeColor="accent1" w:themeShade="bf" w:val="0F4761"/>
    </w:rPr>
  </w:style>
  <w:style w:type="character" w:styleId="KiemeltidzetChar" w:customStyle="1">
    <w:name w:val="Kiemelt idézet Char"/>
    <w:basedOn w:val="DefaultParagraphFont"/>
    <w:link w:val="IntenseQuote"/>
    <w:uiPriority w:val="30"/>
    <w:qFormat/>
    <w:rsid w:val="00cc3f33"/>
    <w:rPr>
      <w:i/>
      <w:iCs/>
      <w:color w:themeColor="accent1" w:themeShade="bf" w:val="0F4761"/>
    </w:rPr>
  </w:style>
  <w:style w:type="character" w:styleId="IntenseReference">
    <w:name w:val="Intense Reference"/>
    <w:basedOn w:val="DefaultParagraphFont"/>
    <w:uiPriority w:val="32"/>
    <w:qFormat/>
    <w:rsid w:val="00cc3f33"/>
    <w:rPr>
      <w:b/>
      <w:bCs/>
      <w:smallCaps/>
      <w:color w:themeColor="accent1" w:themeShade="bf" w:val="0F4761"/>
      <w:spacing w:val="5"/>
    </w:rPr>
  </w:style>
  <w:style w:type="character" w:styleId="Hyperlink">
    <w:name w:val="Hyperlink"/>
    <w:rPr>
      <w:color w:val="000080"/>
      <w:u w:val="single"/>
    </w:rPr>
  </w:style>
  <w:style w:type="paragraph" w:styleId="Cmsor">
    <w:name w:val="Címso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Trgymutat">
    <w:name w:val="Tárgymutató"/>
    <w:basedOn w:val="Normal"/>
    <w:qFormat/>
    <w:pPr>
      <w:suppressLineNumbers/>
    </w:pPr>
    <w:rPr>
      <w:rFonts w:cs="Noto Sans Devanagari"/>
    </w:rPr>
  </w:style>
  <w:style w:type="paragraph" w:styleId="Title">
    <w:name w:val="Title"/>
    <w:basedOn w:val="Normal"/>
    <w:next w:val="Normal"/>
    <w:link w:val="CmChar"/>
    <w:uiPriority w:val="10"/>
    <w:qFormat/>
    <w:rsid w:val="00cc3f3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AlcmChar"/>
    <w:uiPriority w:val="11"/>
    <w:qFormat/>
    <w:rsid w:val="00cc3f33"/>
    <w:pPr/>
    <w:rPr>
      <w:rFonts w:eastAsia="" w:cs="" w:cstheme="majorBidi" w:eastAsiaTheme="majorEastAsia"/>
      <w:color w:themeColor="text1" w:themeTint="a6" w:val="595959"/>
      <w:spacing w:val="15"/>
      <w:sz w:val="28"/>
      <w:szCs w:val="28"/>
    </w:rPr>
  </w:style>
  <w:style w:type="paragraph" w:styleId="Quote">
    <w:name w:val="Quote"/>
    <w:basedOn w:val="Normal"/>
    <w:next w:val="Normal"/>
    <w:link w:val="IdzetChar"/>
    <w:uiPriority w:val="29"/>
    <w:qFormat/>
    <w:rsid w:val="00cc3f33"/>
    <w:pPr>
      <w:spacing w:before="160" w:after="160"/>
      <w:jc w:val="center"/>
    </w:pPr>
    <w:rPr>
      <w:i/>
      <w:iCs/>
      <w:color w:themeColor="text1" w:themeTint="bf" w:val="404040"/>
    </w:rPr>
  </w:style>
  <w:style w:type="paragraph" w:styleId="ListParagraph">
    <w:name w:val="List Paragraph"/>
    <w:basedOn w:val="Normal"/>
    <w:uiPriority w:val="34"/>
    <w:qFormat/>
    <w:rsid w:val="00cc3f33"/>
    <w:pPr>
      <w:spacing w:before="0" w:after="160"/>
      <w:ind w:start="720"/>
      <w:contextualSpacing/>
    </w:pPr>
    <w:rPr/>
  </w:style>
  <w:style w:type="paragraph" w:styleId="IntenseQuote">
    <w:name w:val="Intense Quote"/>
    <w:basedOn w:val="Normal"/>
    <w:next w:val="Normal"/>
    <w:link w:val="KiemeltidzetChar"/>
    <w:uiPriority w:val="30"/>
    <w:qFormat/>
    <w:rsid w:val="00cc3f33"/>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idk@pte.hu" TargetMode="External"/><Relationship Id="rId3" Type="http://schemas.openxmlformats.org/officeDocument/2006/relationships/hyperlink" Target="https://privacy.microsoft.com/hu-hu/privacystatement" TargetMode="External"/><Relationship Id="rId4" Type="http://schemas.openxmlformats.org/officeDocument/2006/relationships/hyperlink" Target="https://www.microsoft.com/hu-hu/servicesagreement" TargetMode="External"/><Relationship Id="rId5" Type="http://schemas.openxmlformats.org/officeDocument/2006/relationships/hyperlink" Target="https://naih.h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410</TotalTime>
  <Application>LibreOffice/24.2.7.2$Linux_X86_64 LibreOffice_project/420$Build-2</Application>
  <AppVersion>15.0000</AppVersion>
  <Pages>5</Pages>
  <Words>2064</Words>
  <Characters>11090</Characters>
  <CharactersWithSpaces>13052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2025-08-12T15:33:28Z</dcterms:created>
  <dc:creator/>
  <dc:description/>
  <dc:language>hu-HU</dc:language>
  <cp:lastModifiedBy/>
  <dcterms:modified xsi:type="dcterms:W3CDTF">2025-08-12T15:33:56Z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